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A" w:rsidRPr="006D412D" w:rsidRDefault="00403CCA" w:rsidP="00403CCA">
      <w:pPr>
        <w:ind w:right="20"/>
        <w:jc w:val="center"/>
        <w:rPr>
          <w:rFonts w:ascii="Century Gothic" w:hAnsi="Century Gothic"/>
          <w:sz w:val="30"/>
          <w:szCs w:val="30"/>
        </w:rPr>
      </w:pPr>
      <w:r w:rsidRPr="006D412D">
        <w:rPr>
          <w:rFonts w:ascii="Century Gothic" w:eastAsia="Gabriola" w:hAnsi="Century Gothic" w:cstheme="minorHAnsi"/>
          <w:b/>
          <w:bCs/>
          <w:noProof/>
          <w:color w:val="FFFFFF"/>
          <w:sz w:val="30"/>
          <w:szCs w:val="3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118110</wp:posOffset>
            </wp:positionH>
            <wp:positionV relativeFrom="page">
              <wp:posOffset>182880</wp:posOffset>
            </wp:positionV>
            <wp:extent cx="7341870" cy="3733800"/>
            <wp:effectExtent l="1905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870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412D">
        <w:rPr>
          <w:rFonts w:ascii="Century Gothic" w:eastAsia="Gabriola" w:hAnsi="Century Gothic" w:cstheme="minorHAnsi"/>
          <w:b/>
          <w:bCs/>
          <w:color w:val="FFFFFF"/>
          <w:sz w:val="30"/>
          <w:szCs w:val="30"/>
        </w:rPr>
        <w:t>КАК ПЕРЕВЕСТИ ПЕНСИОННЫЕ НАКОПЛЕНИЯ В УК ИЛИ НПФ</w:t>
      </w:r>
    </w:p>
    <w:p w:rsidR="00403CCA" w:rsidRDefault="00403CCA" w:rsidP="00403CCA">
      <w:pPr>
        <w:spacing w:line="200" w:lineRule="exact"/>
        <w:rPr>
          <w:sz w:val="24"/>
          <w:szCs w:val="24"/>
        </w:rPr>
      </w:pPr>
    </w:p>
    <w:p w:rsidR="00403CCA" w:rsidRDefault="00403CCA" w:rsidP="00403CCA">
      <w:pPr>
        <w:spacing w:line="200" w:lineRule="exact"/>
        <w:rPr>
          <w:sz w:val="24"/>
          <w:szCs w:val="24"/>
        </w:rPr>
      </w:pPr>
    </w:p>
    <w:p w:rsidR="00403CCA" w:rsidRDefault="00403CCA" w:rsidP="00403CCA">
      <w:pPr>
        <w:spacing w:line="276" w:lineRule="exact"/>
        <w:rPr>
          <w:sz w:val="24"/>
          <w:szCs w:val="24"/>
        </w:rPr>
      </w:pPr>
    </w:p>
    <w:p w:rsidR="00403CCA" w:rsidRDefault="00403CCA" w:rsidP="00403CCA">
      <w:pPr>
        <w:ind w:left="284" w:right="20"/>
        <w:jc w:val="both"/>
        <w:rPr>
          <w:rFonts w:asciiTheme="minorHAnsi" w:eastAsia="Gabriola" w:hAnsiTheme="minorHAnsi" w:cstheme="minorHAnsi"/>
          <w:color w:val="0070C0"/>
          <w:sz w:val="28"/>
          <w:szCs w:val="28"/>
        </w:rPr>
      </w:pPr>
    </w:p>
    <w:p w:rsidR="00425825" w:rsidRDefault="00425825" w:rsidP="006D412D">
      <w:pPr>
        <w:pStyle w:val="a6"/>
        <w:jc w:val="both"/>
        <w:rPr>
          <w:rFonts w:ascii="Calibri Light" w:eastAsia="Gabriola" w:hAnsi="Calibri Light" w:cstheme="minorHAnsi"/>
          <w:b/>
          <w:bCs/>
        </w:rPr>
      </w:pPr>
    </w:p>
    <w:p w:rsidR="00AA7EF1" w:rsidRPr="009F6EB4" w:rsidRDefault="001C5321" w:rsidP="00AA7EF1">
      <w:pPr>
        <w:pStyle w:val="a6"/>
        <w:ind w:left="2" w:firstLine="282"/>
        <w:jc w:val="both"/>
        <w:rPr>
          <w:rFonts w:ascii="Century Gothic" w:hAnsi="Century Gothic" w:cs="Arial"/>
          <w:color w:val="333333"/>
          <w:sz w:val="20"/>
          <w:szCs w:val="20"/>
        </w:rPr>
      </w:pPr>
      <w:r w:rsidRPr="009F6EB4">
        <w:rPr>
          <w:rFonts w:ascii="Century Gothic" w:hAnsi="Century Gothic" w:cs="Arial"/>
          <w:color w:val="333333"/>
          <w:sz w:val="20"/>
          <w:szCs w:val="20"/>
        </w:rPr>
        <w:t>Граждане, формирующие пенсионные накопления, могут ежегодно менять страховщика (ПФР или НПФ).</w:t>
      </w:r>
      <w:r w:rsidR="004C0071" w:rsidRPr="009F6EB4">
        <w:rPr>
          <w:rFonts w:ascii="Century Gothic" w:hAnsi="Century Gothic" w:cs="Arial"/>
          <w:color w:val="333333"/>
          <w:sz w:val="20"/>
          <w:szCs w:val="20"/>
        </w:rPr>
        <w:t xml:space="preserve"> </w:t>
      </w:r>
    </w:p>
    <w:p w:rsidR="004C0071" w:rsidRPr="009F6EB4" w:rsidRDefault="001C5321" w:rsidP="00AA7EF1">
      <w:pPr>
        <w:pStyle w:val="a6"/>
        <w:ind w:left="2" w:firstLine="282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F6EB4">
        <w:rPr>
          <w:rFonts w:ascii="Century Gothic" w:hAnsi="Century Gothic" w:cs="Arial"/>
          <w:color w:val="333333"/>
          <w:sz w:val="20"/>
          <w:szCs w:val="20"/>
        </w:rPr>
        <w:t xml:space="preserve">Для перевода средств пенсионных накоплений </w:t>
      </w:r>
      <w:r w:rsidR="004C0071" w:rsidRPr="009F6EB4">
        <w:rPr>
          <w:rFonts w:ascii="Century Gothic" w:hAnsi="Century Gothic" w:cs="Arial"/>
          <w:color w:val="333333"/>
          <w:sz w:val="20"/>
          <w:szCs w:val="20"/>
        </w:rPr>
        <w:t xml:space="preserve">необходимо </w:t>
      </w:r>
      <w:r w:rsidRPr="009F6EB4">
        <w:rPr>
          <w:rFonts w:ascii="Century Gothic" w:hAnsi="Century Gothic" w:cs="Arial"/>
          <w:b/>
          <w:color w:val="333333"/>
          <w:sz w:val="20"/>
          <w:szCs w:val="20"/>
        </w:rPr>
        <w:t>н</w:t>
      </w:r>
      <w:r w:rsidRPr="009F6EB4">
        <w:rPr>
          <w:rFonts w:ascii="Century Gothic" w:hAnsi="Century Gothic"/>
          <w:b/>
          <w:color w:val="000000" w:themeColor="text1"/>
          <w:sz w:val="20"/>
          <w:szCs w:val="20"/>
        </w:rPr>
        <w:t>е позднее 1 декабря</w:t>
      </w:r>
      <w:r w:rsidR="004C0071" w:rsidRPr="009F6EB4">
        <w:rPr>
          <w:rFonts w:ascii="Century Gothic" w:hAnsi="Century Gothic"/>
          <w:b/>
          <w:color w:val="000000" w:themeColor="text1"/>
          <w:sz w:val="20"/>
          <w:szCs w:val="20"/>
        </w:rPr>
        <w:t>:</w:t>
      </w:r>
    </w:p>
    <w:p w:rsidR="001C5321" w:rsidRPr="009F6EB4" w:rsidRDefault="006D412D" w:rsidP="004C0071">
      <w:pPr>
        <w:pStyle w:val="a6"/>
        <w:ind w:firstLine="284"/>
        <w:jc w:val="both"/>
        <w:rPr>
          <w:rFonts w:ascii="Century Gothic" w:hAnsi="Century Gothic"/>
          <w:sz w:val="20"/>
          <w:szCs w:val="20"/>
        </w:rPr>
      </w:pPr>
      <w:r w:rsidRPr="009F6EB4">
        <w:rPr>
          <w:rFonts w:ascii="Century Gothic" w:eastAsia="Gabriola" w:hAnsi="Century Gothic" w:cstheme="minorHAnsi"/>
          <w:b/>
          <w:bCs/>
          <w:sz w:val="20"/>
          <w:szCs w:val="20"/>
        </w:rPr>
        <w:t xml:space="preserve">Перевод в НПФ. </w:t>
      </w:r>
    </w:p>
    <w:p w:rsidR="009D66F8" w:rsidRPr="009F6EB4" w:rsidRDefault="004C0071" w:rsidP="006D412D">
      <w:pPr>
        <w:pStyle w:val="a7"/>
        <w:numPr>
          <w:ilvl w:val="0"/>
          <w:numId w:val="9"/>
        </w:numPr>
        <w:snapToGrid w:val="0"/>
        <w:spacing w:before="120"/>
        <w:jc w:val="both"/>
        <w:rPr>
          <w:rFonts w:ascii="Century Gothic" w:hAnsi="Century Gothic"/>
          <w:sz w:val="20"/>
          <w:szCs w:val="20"/>
        </w:rPr>
      </w:pPr>
      <w:r w:rsidRPr="009F6EB4">
        <w:rPr>
          <w:rFonts w:ascii="Century Gothic" w:hAnsi="Century Gothic"/>
          <w:color w:val="000000" w:themeColor="text1"/>
          <w:sz w:val="20"/>
          <w:szCs w:val="20"/>
        </w:rPr>
        <w:t xml:space="preserve">подать соответствующее заявление о переводе </w:t>
      </w:r>
      <w:r w:rsidR="009D66F8" w:rsidRPr="009F6EB4">
        <w:rPr>
          <w:rFonts w:ascii="Century Gothic" w:hAnsi="Century Gothic"/>
          <w:sz w:val="20"/>
          <w:szCs w:val="20"/>
        </w:rPr>
        <w:t>средств пенсионных накоплений;</w:t>
      </w:r>
    </w:p>
    <w:p w:rsidR="009D66F8" w:rsidRPr="009F6EB4" w:rsidRDefault="006D412D" w:rsidP="006D412D">
      <w:pPr>
        <w:pStyle w:val="a7"/>
        <w:numPr>
          <w:ilvl w:val="0"/>
          <w:numId w:val="9"/>
        </w:numPr>
        <w:snapToGrid w:val="0"/>
        <w:spacing w:before="120"/>
        <w:jc w:val="both"/>
        <w:rPr>
          <w:rFonts w:ascii="Century Gothic" w:hAnsi="Century Gothic"/>
          <w:sz w:val="20"/>
          <w:szCs w:val="20"/>
        </w:rPr>
      </w:pPr>
      <w:r w:rsidRPr="009F6EB4">
        <w:rPr>
          <w:rFonts w:ascii="Century Gothic" w:hAnsi="Century Gothic"/>
          <w:sz w:val="20"/>
          <w:szCs w:val="20"/>
        </w:rPr>
        <w:t>з</w:t>
      </w:r>
      <w:r w:rsidR="009D66F8" w:rsidRPr="009F6EB4">
        <w:rPr>
          <w:rFonts w:ascii="Century Gothic" w:hAnsi="Century Gothic"/>
          <w:sz w:val="20"/>
          <w:szCs w:val="20"/>
        </w:rPr>
        <w:t xml:space="preserve">аключить с выбранным НПФ договор об обязательном пенсионном страховании. </w:t>
      </w:r>
    </w:p>
    <w:p w:rsidR="006D412D" w:rsidRPr="009F6EB4" w:rsidRDefault="009D66F8" w:rsidP="004C0071">
      <w:pPr>
        <w:pStyle w:val="a6"/>
        <w:spacing w:before="120"/>
        <w:ind w:firstLine="284"/>
        <w:jc w:val="both"/>
        <w:rPr>
          <w:rFonts w:ascii="Century Gothic" w:eastAsia="Gabriola" w:hAnsi="Century Gothic" w:cstheme="minorHAnsi"/>
          <w:b/>
          <w:bCs/>
          <w:color w:val="000000" w:themeColor="text1"/>
          <w:sz w:val="20"/>
          <w:szCs w:val="20"/>
        </w:rPr>
      </w:pPr>
      <w:r w:rsidRPr="009F6EB4">
        <w:rPr>
          <w:rFonts w:ascii="Century Gothic" w:hAnsi="Century Gothic" w:cs="Calibri"/>
          <w:sz w:val="20"/>
          <w:szCs w:val="20"/>
        </w:rPr>
        <w:t xml:space="preserve"> </w:t>
      </w:r>
      <w:r w:rsidR="006D412D" w:rsidRPr="009F6EB4">
        <w:rPr>
          <w:rFonts w:ascii="Century Gothic" w:eastAsia="Gabriola" w:hAnsi="Century Gothic" w:cstheme="minorHAnsi"/>
          <w:b/>
          <w:bCs/>
          <w:color w:val="000000" w:themeColor="text1"/>
          <w:sz w:val="20"/>
          <w:szCs w:val="20"/>
        </w:rPr>
        <w:t xml:space="preserve">Перевод в </w:t>
      </w:r>
      <w:r w:rsidR="00AA7EF1" w:rsidRPr="009F6EB4">
        <w:rPr>
          <w:rFonts w:ascii="Century Gothic" w:eastAsia="Gabriola" w:hAnsi="Century Gothic" w:cstheme="minorHAnsi"/>
          <w:b/>
          <w:bCs/>
          <w:color w:val="000000" w:themeColor="text1"/>
          <w:sz w:val="20"/>
          <w:szCs w:val="20"/>
        </w:rPr>
        <w:t>УК</w:t>
      </w:r>
      <w:r w:rsidR="00357D85" w:rsidRPr="009F6EB4">
        <w:rPr>
          <w:rFonts w:ascii="Century Gothic" w:eastAsia="Gabriola" w:hAnsi="Century Gothic" w:cstheme="minorHAnsi"/>
          <w:b/>
          <w:bCs/>
          <w:color w:val="000000" w:themeColor="text1"/>
          <w:sz w:val="20"/>
          <w:szCs w:val="20"/>
        </w:rPr>
        <w:t xml:space="preserve"> (</w:t>
      </w:r>
      <w:r w:rsidR="00AA7EF1" w:rsidRPr="009F6EB4">
        <w:rPr>
          <w:rFonts w:ascii="Century Gothic" w:eastAsia="Gabriola" w:hAnsi="Century Gothic" w:cstheme="minorHAnsi"/>
          <w:b/>
          <w:bCs/>
          <w:color w:val="000000" w:themeColor="text1"/>
          <w:sz w:val="20"/>
          <w:szCs w:val="20"/>
        </w:rPr>
        <w:t>ПФР</w:t>
      </w:r>
      <w:r w:rsidR="00357D85" w:rsidRPr="009F6EB4">
        <w:rPr>
          <w:rFonts w:ascii="Century Gothic" w:eastAsia="Gabriola" w:hAnsi="Century Gothic" w:cstheme="minorHAnsi"/>
          <w:b/>
          <w:bCs/>
          <w:color w:val="000000" w:themeColor="text1"/>
          <w:sz w:val="20"/>
          <w:szCs w:val="20"/>
        </w:rPr>
        <w:t>)</w:t>
      </w:r>
      <w:r w:rsidR="006D412D" w:rsidRPr="009F6EB4">
        <w:rPr>
          <w:rFonts w:ascii="Century Gothic" w:eastAsia="Gabriola" w:hAnsi="Century Gothic" w:cstheme="minorHAnsi"/>
          <w:b/>
          <w:bCs/>
          <w:color w:val="000000" w:themeColor="text1"/>
          <w:sz w:val="20"/>
          <w:szCs w:val="20"/>
        </w:rPr>
        <w:t>.</w:t>
      </w:r>
      <w:r w:rsidR="00282AA0" w:rsidRPr="009F6EB4">
        <w:rPr>
          <w:rFonts w:ascii="Century Gothic" w:eastAsia="Gabriola" w:hAnsi="Century Gothic" w:cstheme="minorHAnsi"/>
          <w:b/>
          <w:bCs/>
          <w:color w:val="000000" w:themeColor="text1"/>
          <w:sz w:val="20"/>
          <w:szCs w:val="20"/>
        </w:rPr>
        <w:t xml:space="preserve">  </w:t>
      </w:r>
    </w:p>
    <w:p w:rsidR="006D412D" w:rsidRPr="009F6EB4" w:rsidRDefault="006D412D" w:rsidP="009E33A4">
      <w:pPr>
        <w:pStyle w:val="a7"/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9F6EB4">
        <w:rPr>
          <w:rFonts w:ascii="Century Gothic" w:hAnsi="Century Gothic"/>
          <w:color w:val="000000" w:themeColor="text1"/>
          <w:sz w:val="20"/>
          <w:szCs w:val="20"/>
        </w:rPr>
        <w:t>подать соответс</w:t>
      </w:r>
      <w:r w:rsidR="00282AA0" w:rsidRPr="009F6EB4">
        <w:rPr>
          <w:rFonts w:ascii="Century Gothic" w:hAnsi="Century Gothic"/>
          <w:color w:val="000000" w:themeColor="text1"/>
          <w:sz w:val="20"/>
          <w:szCs w:val="20"/>
        </w:rPr>
        <w:t>т</w:t>
      </w:r>
      <w:r w:rsidRPr="009F6EB4">
        <w:rPr>
          <w:rFonts w:ascii="Century Gothic" w:hAnsi="Century Gothic"/>
          <w:color w:val="000000" w:themeColor="text1"/>
          <w:sz w:val="20"/>
          <w:szCs w:val="20"/>
        </w:rPr>
        <w:t>вующее заявление о переводе средств пенсионных накоплений.</w:t>
      </w:r>
    </w:p>
    <w:p w:rsidR="009F6EB4" w:rsidRDefault="009F6EB4" w:rsidP="00502EC4">
      <w:pPr>
        <w:tabs>
          <w:tab w:val="left" w:pos="426"/>
        </w:tabs>
        <w:spacing w:before="120"/>
        <w:ind w:firstLine="284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9E33A4" w:rsidRPr="009F6EB4" w:rsidRDefault="009E33A4" w:rsidP="00502EC4">
      <w:pPr>
        <w:tabs>
          <w:tab w:val="left" w:pos="426"/>
        </w:tabs>
        <w:spacing w:before="120"/>
        <w:ind w:firstLine="284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9F6EB4">
        <w:rPr>
          <w:rFonts w:ascii="Century Gothic" w:hAnsi="Century Gothic"/>
          <w:b/>
          <w:color w:val="000000" w:themeColor="text1"/>
          <w:sz w:val="20"/>
          <w:szCs w:val="20"/>
        </w:rPr>
        <w:t>Заявление</w:t>
      </w:r>
      <w:r w:rsidRPr="009F6EB4">
        <w:rPr>
          <w:rFonts w:ascii="Century Gothic" w:hAnsi="Century Gothic"/>
          <w:color w:val="000000" w:themeColor="text1"/>
          <w:sz w:val="20"/>
          <w:szCs w:val="20"/>
        </w:rPr>
        <w:t xml:space="preserve"> можно подать не </w:t>
      </w:r>
      <w:r w:rsidRPr="009F6EB4">
        <w:rPr>
          <w:rFonts w:ascii="Century Gothic" w:eastAsiaTheme="minorHAnsi" w:hAnsi="Century Gothic" w:cs="Calibri Light"/>
          <w:sz w:val="20"/>
          <w:szCs w:val="20"/>
          <w:lang w:eastAsia="en-US"/>
        </w:rPr>
        <w:t>чаще одного раза в год, до обращения за установлением накопительной пенсии, срочной пенсионной выплаты, единовременной выплаты средств пенсионных накоплений.</w:t>
      </w:r>
    </w:p>
    <w:p w:rsidR="00AB3B60" w:rsidRPr="009F6EB4" w:rsidRDefault="00220489" w:rsidP="00502EC4">
      <w:pPr>
        <w:tabs>
          <w:tab w:val="left" w:pos="426"/>
        </w:tabs>
        <w:spacing w:before="120"/>
        <w:ind w:firstLine="284"/>
        <w:jc w:val="both"/>
        <w:rPr>
          <w:rFonts w:ascii="Century Gothic" w:hAnsi="Century Gothic"/>
          <w:color w:val="000000"/>
          <w:sz w:val="20"/>
          <w:szCs w:val="20"/>
        </w:rPr>
      </w:pPr>
      <w:r w:rsidRPr="009F6EB4">
        <w:rPr>
          <w:rFonts w:ascii="Century Gothic" w:hAnsi="Century Gothic"/>
          <w:sz w:val="20"/>
          <w:szCs w:val="20"/>
        </w:rPr>
        <w:t>С</w:t>
      </w:r>
      <w:r w:rsidR="00AB3B60" w:rsidRPr="009F6EB4">
        <w:rPr>
          <w:rFonts w:ascii="Century Gothic" w:hAnsi="Century Gothic"/>
          <w:sz w:val="20"/>
          <w:szCs w:val="20"/>
        </w:rPr>
        <w:t xml:space="preserve"> 1 января 2015 года, </w:t>
      </w:r>
      <w:r w:rsidR="00502EC4" w:rsidRPr="009F6EB4">
        <w:rPr>
          <w:rFonts w:ascii="Century Gothic" w:hAnsi="Century Gothic"/>
          <w:sz w:val="20"/>
          <w:szCs w:val="20"/>
        </w:rPr>
        <w:t>граждане</w:t>
      </w:r>
      <w:r w:rsidR="00AB3B60" w:rsidRPr="009F6EB4">
        <w:rPr>
          <w:rFonts w:ascii="Century Gothic" w:hAnsi="Century Gothic"/>
          <w:sz w:val="20"/>
          <w:szCs w:val="20"/>
        </w:rPr>
        <w:t xml:space="preserve"> могут подавать заявления </w:t>
      </w:r>
      <w:r w:rsidR="00AB3B60" w:rsidRPr="009F6EB4">
        <w:rPr>
          <w:rFonts w:ascii="Century Gothic" w:hAnsi="Century Gothic"/>
          <w:b/>
          <w:sz w:val="20"/>
          <w:szCs w:val="20"/>
        </w:rPr>
        <w:t>о переходе</w:t>
      </w:r>
      <w:r w:rsidR="00AB3B60" w:rsidRPr="009F6EB4">
        <w:rPr>
          <w:rFonts w:ascii="Century Gothic" w:hAnsi="Century Gothic"/>
          <w:sz w:val="20"/>
          <w:szCs w:val="20"/>
        </w:rPr>
        <w:t xml:space="preserve"> </w:t>
      </w:r>
      <w:r w:rsidR="00F60B9D" w:rsidRPr="009F6EB4">
        <w:rPr>
          <w:rFonts w:ascii="Century Gothic" w:hAnsi="Century Gothic"/>
          <w:sz w:val="20"/>
          <w:szCs w:val="20"/>
        </w:rPr>
        <w:t xml:space="preserve"> </w:t>
      </w:r>
      <w:r w:rsidR="00AB3B60" w:rsidRPr="009F6EB4">
        <w:rPr>
          <w:rFonts w:ascii="Century Gothic" w:hAnsi="Century Gothic"/>
          <w:sz w:val="20"/>
          <w:szCs w:val="20"/>
        </w:rPr>
        <w:t xml:space="preserve">или </w:t>
      </w:r>
      <w:r w:rsidR="00AB3B60" w:rsidRPr="009F6EB4">
        <w:rPr>
          <w:rFonts w:ascii="Century Gothic" w:hAnsi="Century Gothic"/>
          <w:b/>
          <w:sz w:val="20"/>
          <w:szCs w:val="20"/>
        </w:rPr>
        <w:t>о досрочном переходе</w:t>
      </w:r>
      <w:r w:rsidR="00AB3B60" w:rsidRPr="009F6EB4">
        <w:rPr>
          <w:rFonts w:ascii="Century Gothic" w:hAnsi="Century Gothic"/>
          <w:sz w:val="20"/>
          <w:szCs w:val="20"/>
        </w:rPr>
        <w:t>.</w:t>
      </w:r>
    </w:p>
    <w:p w:rsidR="00AB3B60" w:rsidRPr="009F6EB4" w:rsidRDefault="00357D85" w:rsidP="00502EC4">
      <w:pPr>
        <w:pStyle w:val="a6"/>
        <w:jc w:val="both"/>
        <w:rPr>
          <w:rFonts w:ascii="Century Gothic" w:hAnsi="Century Gothic"/>
          <w:sz w:val="20"/>
          <w:szCs w:val="20"/>
        </w:rPr>
      </w:pPr>
      <w:r w:rsidRPr="009F6EB4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3913505</wp:posOffset>
            </wp:positionH>
            <wp:positionV relativeFrom="margin">
              <wp:posOffset>3762375</wp:posOffset>
            </wp:positionV>
            <wp:extent cx="2785110" cy="2758440"/>
            <wp:effectExtent l="19050" t="0" r="0" b="0"/>
            <wp:wrapSquare wrapText="bothSides"/>
            <wp:docPr id="3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B60" w:rsidRPr="009F6EB4">
        <w:rPr>
          <w:rFonts w:ascii="Century Gothic" w:hAnsi="Century Gothic"/>
          <w:sz w:val="20"/>
          <w:szCs w:val="20"/>
        </w:rPr>
        <w:t xml:space="preserve">Заявление </w:t>
      </w:r>
      <w:r w:rsidR="00AB3B60" w:rsidRPr="009F6EB4">
        <w:rPr>
          <w:rFonts w:ascii="Century Gothic" w:hAnsi="Century Gothic"/>
          <w:b/>
          <w:sz w:val="20"/>
          <w:szCs w:val="20"/>
        </w:rPr>
        <w:t>о переходе</w:t>
      </w:r>
      <w:r w:rsidR="00220489" w:rsidRPr="009F6EB4">
        <w:rPr>
          <w:rFonts w:ascii="Century Gothic" w:hAnsi="Century Gothic"/>
          <w:b/>
          <w:sz w:val="20"/>
          <w:szCs w:val="20"/>
        </w:rPr>
        <w:t xml:space="preserve"> </w:t>
      </w:r>
      <w:r w:rsidR="00AB3B60" w:rsidRPr="009F6EB4">
        <w:rPr>
          <w:rFonts w:ascii="Century Gothic" w:hAnsi="Century Gothic"/>
          <w:sz w:val="20"/>
          <w:szCs w:val="20"/>
        </w:rPr>
        <w:t>подлежит рассмотрению Пенсионным фондом Р</w:t>
      </w:r>
      <w:r w:rsidR="000B18A6" w:rsidRPr="009F6EB4">
        <w:rPr>
          <w:rFonts w:ascii="Century Gothic" w:hAnsi="Century Gothic"/>
          <w:sz w:val="20"/>
          <w:szCs w:val="20"/>
        </w:rPr>
        <w:t xml:space="preserve">оссийской </w:t>
      </w:r>
      <w:r w:rsidR="00AB3B60" w:rsidRPr="009F6EB4">
        <w:rPr>
          <w:rFonts w:ascii="Century Gothic" w:hAnsi="Century Gothic"/>
          <w:sz w:val="20"/>
          <w:szCs w:val="20"/>
        </w:rPr>
        <w:t>Ф</w:t>
      </w:r>
      <w:r w:rsidR="000B18A6" w:rsidRPr="009F6EB4">
        <w:rPr>
          <w:rFonts w:ascii="Century Gothic" w:hAnsi="Century Gothic"/>
          <w:sz w:val="20"/>
          <w:szCs w:val="20"/>
        </w:rPr>
        <w:t>едерации</w:t>
      </w:r>
      <w:r w:rsidR="00AB3B60" w:rsidRPr="009F6EB4">
        <w:rPr>
          <w:rFonts w:ascii="Century Gothic" w:hAnsi="Century Gothic"/>
          <w:sz w:val="20"/>
          <w:szCs w:val="20"/>
        </w:rPr>
        <w:t xml:space="preserve"> в срок до </w:t>
      </w:r>
      <w:r w:rsidR="000B18A6" w:rsidRPr="009F6EB4">
        <w:rPr>
          <w:rFonts w:ascii="Century Gothic" w:hAnsi="Century Gothic"/>
          <w:sz w:val="20"/>
          <w:szCs w:val="20"/>
        </w:rPr>
        <w:t xml:space="preserve">         </w:t>
      </w:r>
      <w:r w:rsidR="00AB3B60" w:rsidRPr="009F6EB4">
        <w:rPr>
          <w:rFonts w:ascii="Century Gothic" w:hAnsi="Century Gothic"/>
          <w:sz w:val="20"/>
          <w:szCs w:val="20"/>
        </w:rPr>
        <w:t xml:space="preserve">1 марта года, следующего за годом, в котором истекает пятилетний срок, исчисляющийся начиная с года подачи </w:t>
      </w:r>
      <w:r w:rsidR="000B18A6" w:rsidRPr="009F6EB4">
        <w:rPr>
          <w:rFonts w:ascii="Century Gothic" w:hAnsi="Century Gothic"/>
          <w:sz w:val="20"/>
          <w:szCs w:val="20"/>
        </w:rPr>
        <w:t xml:space="preserve">гражданином </w:t>
      </w:r>
      <w:r w:rsidR="00AB3B60" w:rsidRPr="009F6EB4">
        <w:rPr>
          <w:rFonts w:ascii="Century Gothic" w:hAnsi="Century Gothic"/>
          <w:sz w:val="20"/>
          <w:szCs w:val="20"/>
        </w:rPr>
        <w:t xml:space="preserve">заявления о  переходе. </w:t>
      </w:r>
    </w:p>
    <w:p w:rsidR="00832411" w:rsidRPr="009F6EB4" w:rsidRDefault="00AB3B60" w:rsidP="000B18A6">
      <w:pPr>
        <w:pStyle w:val="a6"/>
        <w:jc w:val="both"/>
        <w:rPr>
          <w:rFonts w:ascii="Century Gothic" w:hAnsi="Century Gothic"/>
          <w:sz w:val="20"/>
          <w:szCs w:val="20"/>
        </w:rPr>
      </w:pPr>
      <w:r w:rsidRPr="009F6EB4">
        <w:rPr>
          <w:rFonts w:ascii="Century Gothic" w:hAnsi="Century Gothic"/>
          <w:sz w:val="20"/>
          <w:szCs w:val="20"/>
        </w:rPr>
        <w:t xml:space="preserve">Заявление </w:t>
      </w:r>
      <w:r w:rsidRPr="009F6EB4">
        <w:rPr>
          <w:rFonts w:ascii="Century Gothic" w:hAnsi="Century Gothic"/>
          <w:b/>
          <w:sz w:val="20"/>
          <w:szCs w:val="20"/>
        </w:rPr>
        <w:t>о досрочном переходе</w:t>
      </w:r>
      <w:r w:rsidRPr="009F6EB4">
        <w:rPr>
          <w:rFonts w:ascii="Century Gothic" w:hAnsi="Century Gothic"/>
          <w:sz w:val="20"/>
          <w:szCs w:val="20"/>
        </w:rPr>
        <w:t xml:space="preserve"> подлежит рассмотрению Пенсионным фондом Р</w:t>
      </w:r>
      <w:r w:rsidR="000B18A6" w:rsidRPr="009F6EB4">
        <w:rPr>
          <w:rFonts w:ascii="Century Gothic" w:hAnsi="Century Gothic"/>
          <w:sz w:val="20"/>
          <w:szCs w:val="20"/>
        </w:rPr>
        <w:t xml:space="preserve">оссийской </w:t>
      </w:r>
      <w:r w:rsidRPr="009F6EB4">
        <w:rPr>
          <w:rFonts w:ascii="Century Gothic" w:hAnsi="Century Gothic"/>
          <w:sz w:val="20"/>
          <w:szCs w:val="20"/>
        </w:rPr>
        <w:t>Ф</w:t>
      </w:r>
      <w:r w:rsidR="000B18A6" w:rsidRPr="009F6EB4">
        <w:rPr>
          <w:rFonts w:ascii="Century Gothic" w:hAnsi="Century Gothic"/>
          <w:sz w:val="20"/>
          <w:szCs w:val="20"/>
        </w:rPr>
        <w:t>едерации</w:t>
      </w:r>
      <w:r w:rsidRPr="009F6EB4">
        <w:rPr>
          <w:rFonts w:ascii="Century Gothic" w:hAnsi="Century Gothic"/>
          <w:sz w:val="20"/>
          <w:szCs w:val="20"/>
        </w:rPr>
        <w:t xml:space="preserve"> в срок до 1 марта года, следующего за годом подачи </w:t>
      </w:r>
      <w:r w:rsidR="000B18A6" w:rsidRPr="009F6EB4">
        <w:rPr>
          <w:rFonts w:ascii="Century Gothic" w:hAnsi="Century Gothic"/>
          <w:sz w:val="20"/>
          <w:szCs w:val="20"/>
        </w:rPr>
        <w:t xml:space="preserve">гражданином </w:t>
      </w:r>
      <w:r w:rsidRPr="009F6EB4">
        <w:rPr>
          <w:rFonts w:ascii="Century Gothic" w:hAnsi="Century Gothic"/>
          <w:sz w:val="20"/>
          <w:szCs w:val="20"/>
        </w:rPr>
        <w:t xml:space="preserve">заявления о досрочном переходе. </w:t>
      </w:r>
    </w:p>
    <w:p w:rsidR="00832411" w:rsidRPr="009F6EB4" w:rsidRDefault="00832411" w:rsidP="000B18A6">
      <w:pPr>
        <w:pStyle w:val="a6"/>
        <w:jc w:val="both"/>
        <w:rPr>
          <w:rFonts w:ascii="Century Gothic" w:hAnsi="Century Gothic"/>
          <w:sz w:val="20"/>
          <w:szCs w:val="20"/>
        </w:rPr>
      </w:pPr>
      <w:r w:rsidRPr="009F6EB4">
        <w:rPr>
          <w:rFonts w:ascii="Century Gothic" w:hAnsi="Century Gothic"/>
          <w:sz w:val="20"/>
          <w:szCs w:val="20"/>
        </w:rPr>
        <w:t>Перевод средств выбранному страховщику осуществляется до 31 марта года рассмотрения заявления.</w:t>
      </w:r>
    </w:p>
    <w:p w:rsidR="00F54750" w:rsidRPr="009F6EB4" w:rsidRDefault="00F54750" w:rsidP="00F54750">
      <w:pPr>
        <w:tabs>
          <w:tab w:val="left" w:pos="284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9F6EB4">
        <w:rPr>
          <w:rFonts w:ascii="Century Gothic" w:hAnsi="Century Gothic" w:cs="Calibri"/>
          <w:b/>
          <w:bCs/>
          <w:color w:val="003F9A"/>
          <w:sz w:val="24"/>
          <w:szCs w:val="24"/>
        </w:rPr>
        <w:t>ВНИМАНИЕ!</w:t>
      </w:r>
      <w:r w:rsidRPr="009F6EB4">
        <w:rPr>
          <w:rFonts w:ascii="Century Gothic" w:hAnsi="Century Gothic" w:cs="Calibri"/>
          <w:bCs/>
        </w:rPr>
        <w:t xml:space="preserve"> </w:t>
      </w:r>
      <w:r w:rsidRPr="009F6EB4">
        <w:rPr>
          <w:rFonts w:ascii="Century Gothic" w:hAnsi="Century Gothic" w:cs="Calibri"/>
          <w:bCs/>
          <w:sz w:val="20"/>
          <w:szCs w:val="20"/>
        </w:rPr>
        <w:t xml:space="preserve">Если гражданин будет осуществлять смену страховщика чаще одного раза в пять лет, он может потерять инвестиционный доход, полученный предыдущим страховщиком, </w:t>
      </w:r>
      <w:r w:rsidRPr="009F6EB4">
        <w:rPr>
          <w:rFonts w:ascii="Century Gothic" w:hAnsi="Century Gothic"/>
          <w:sz w:val="20"/>
          <w:szCs w:val="20"/>
        </w:rPr>
        <w:t>а в случае отрицательного результата инвестирования – уменьшение средств пенсионных накоплений на сумму инвестиционного убытка.</w:t>
      </w:r>
    </w:p>
    <w:p w:rsidR="00F54750" w:rsidRPr="009F6EB4" w:rsidRDefault="00F54750" w:rsidP="00F54750">
      <w:pPr>
        <w:tabs>
          <w:tab w:val="left" w:pos="284"/>
        </w:tabs>
        <w:spacing w:before="120"/>
        <w:jc w:val="both"/>
        <w:rPr>
          <w:rFonts w:ascii="Century Gothic" w:hAnsi="Century Gothic" w:cs="Calibri"/>
          <w:bCs/>
          <w:sz w:val="20"/>
          <w:szCs w:val="20"/>
        </w:rPr>
      </w:pPr>
      <w:r w:rsidRPr="009F6EB4">
        <w:rPr>
          <w:rFonts w:ascii="Century Gothic" w:hAnsi="Century Gothic" w:cs="Calibri"/>
          <w:bCs/>
          <w:sz w:val="20"/>
          <w:szCs w:val="20"/>
        </w:rPr>
        <w:t>При этом если страховщиком гражданина является ПФР, смену управляющей компании или инвестиционного портфеля УК можно производить ежегодно без потери инвестиционного дохода.</w:t>
      </w:r>
      <w:r w:rsidRPr="009F6EB4">
        <w:rPr>
          <w:rFonts w:ascii="Century Gothic" w:hAnsi="Century Gothic" w:cs="Calibri"/>
          <w:b/>
          <w:bCs/>
          <w:color w:val="6699FF"/>
          <w:sz w:val="20"/>
          <w:szCs w:val="20"/>
        </w:rPr>
        <w:t xml:space="preserve">                                    </w:t>
      </w:r>
    </w:p>
    <w:p w:rsidR="00A31322" w:rsidRPr="009F6EB4" w:rsidRDefault="00F54750" w:rsidP="00F54750">
      <w:pPr>
        <w:tabs>
          <w:tab w:val="left" w:pos="284"/>
        </w:tabs>
        <w:spacing w:before="120"/>
        <w:jc w:val="both"/>
        <w:rPr>
          <w:rFonts w:ascii="Century Gothic" w:hAnsi="Century Gothic" w:cs="Calibri"/>
          <w:sz w:val="20"/>
          <w:szCs w:val="20"/>
        </w:rPr>
      </w:pPr>
      <w:r w:rsidRPr="009F6EB4">
        <w:rPr>
          <w:rFonts w:ascii="Century Gothic" w:hAnsi="Century Gothic" w:cs="Calibri"/>
          <w:b/>
          <w:bCs/>
          <w:color w:val="003F9A"/>
          <w:sz w:val="24"/>
          <w:szCs w:val="24"/>
        </w:rPr>
        <w:t>ЗАМЕНА СТРАХОВЩИКА</w:t>
      </w:r>
      <w:r w:rsidRPr="009F6EB4">
        <w:rPr>
          <w:rFonts w:ascii="Century Gothic" w:hAnsi="Century Gothic" w:cs="Calibri"/>
          <w:b/>
          <w:bCs/>
          <w:color w:val="003F9A"/>
          <w:sz w:val="26"/>
          <w:szCs w:val="26"/>
        </w:rPr>
        <w:t xml:space="preserve"> </w:t>
      </w:r>
      <w:r w:rsidR="000B18A6" w:rsidRPr="009F6EB4">
        <w:rPr>
          <w:rFonts w:ascii="Century Gothic" w:hAnsi="Century Gothic" w:cs="Calibri"/>
          <w:sz w:val="20"/>
          <w:szCs w:val="20"/>
        </w:rPr>
        <w:t>Гражданин</w:t>
      </w:r>
      <w:r w:rsidR="00F119ED" w:rsidRPr="009F6EB4">
        <w:rPr>
          <w:rFonts w:ascii="Century Gothic" w:hAnsi="Century Gothic" w:cs="Calibri"/>
          <w:sz w:val="20"/>
          <w:szCs w:val="20"/>
        </w:rPr>
        <w:t xml:space="preserve"> </w:t>
      </w:r>
      <w:r w:rsidR="00A31322" w:rsidRPr="009F6EB4">
        <w:rPr>
          <w:rFonts w:ascii="Century Gothic" w:hAnsi="Century Gothic" w:cs="Calibri"/>
          <w:sz w:val="20"/>
          <w:szCs w:val="20"/>
        </w:rPr>
        <w:t xml:space="preserve">в случае подачи заявления о переходе может воспользоваться правом на замену выбранного им страховщика (выбранного инвестиционного портфеля управляющей компании). Уведомление о замене подается в Пенсионный фонд Российской Федерации </w:t>
      </w:r>
      <w:r w:rsidR="00A31322" w:rsidRPr="009F6EB4">
        <w:rPr>
          <w:rFonts w:ascii="Century Gothic" w:hAnsi="Century Gothic" w:cs="Calibri"/>
          <w:b/>
          <w:sz w:val="20"/>
          <w:szCs w:val="20"/>
        </w:rPr>
        <w:t>не позднее 31 декабря.</w:t>
      </w:r>
    </w:p>
    <w:p w:rsidR="00A31322" w:rsidRPr="009F6EB4" w:rsidRDefault="00F54750" w:rsidP="00F54750">
      <w:pPr>
        <w:tabs>
          <w:tab w:val="left" w:pos="284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9F6EB4">
        <w:rPr>
          <w:rFonts w:ascii="Century Gothic" w:hAnsi="Century Gothic" w:cs="Calibri"/>
          <w:b/>
          <w:bCs/>
          <w:color w:val="003F9A"/>
          <w:sz w:val="24"/>
          <w:szCs w:val="24"/>
        </w:rPr>
        <w:t>ОТКАЗ ОТ СМЕНЫ СТРАХОВЩИКА</w:t>
      </w:r>
      <w:r w:rsidRPr="009F6EB4">
        <w:rPr>
          <w:rFonts w:ascii="Century Gothic" w:hAnsi="Century Gothic" w:cs="Calibri"/>
          <w:b/>
          <w:bCs/>
          <w:color w:val="003F9A"/>
          <w:sz w:val="26"/>
          <w:szCs w:val="26"/>
        </w:rPr>
        <w:t xml:space="preserve"> </w:t>
      </w:r>
      <w:r w:rsidR="00F119ED" w:rsidRPr="009F6EB4">
        <w:rPr>
          <w:rFonts w:ascii="Century Gothic" w:hAnsi="Century Gothic" w:cs="Calibri"/>
          <w:sz w:val="20"/>
          <w:szCs w:val="20"/>
        </w:rPr>
        <w:t>Гражданин</w:t>
      </w:r>
      <w:r w:rsidR="00A31322" w:rsidRPr="009F6EB4">
        <w:rPr>
          <w:rFonts w:ascii="Century Gothic" w:hAnsi="Century Gothic" w:cs="Calibri"/>
          <w:sz w:val="20"/>
          <w:szCs w:val="20"/>
        </w:rPr>
        <w:t xml:space="preserve"> может воспользоваться правом на отказ от смены страховщика путем подачи уведомления об отказе от смены страховщика. Уведомление об отказе от смены страховщика подается в Пенсионный фонд Российской Федерации </w:t>
      </w:r>
      <w:r w:rsidR="00A31322" w:rsidRPr="009F6EB4">
        <w:rPr>
          <w:rFonts w:ascii="Century Gothic" w:hAnsi="Century Gothic" w:cs="Calibri"/>
          <w:b/>
          <w:sz w:val="20"/>
          <w:szCs w:val="20"/>
        </w:rPr>
        <w:t xml:space="preserve">не позднее 31 декабря года, предшествующего году, в котором должно быть удовлетворено заявление о переходе (заявление о досрочном переходе) </w:t>
      </w:r>
      <w:r w:rsidR="00A31322" w:rsidRPr="009F6EB4">
        <w:rPr>
          <w:rFonts w:ascii="Century Gothic" w:hAnsi="Century Gothic" w:cs="Calibri"/>
          <w:sz w:val="20"/>
          <w:szCs w:val="20"/>
        </w:rPr>
        <w:t>в фонд или Пенсионный фонд Российской Федерации.</w:t>
      </w:r>
    </w:p>
    <w:p w:rsidR="00220489" w:rsidRPr="009F6EB4" w:rsidRDefault="00220489" w:rsidP="00220489">
      <w:pPr>
        <w:pStyle w:val="a6"/>
        <w:jc w:val="both"/>
        <w:rPr>
          <w:rFonts w:ascii="Century Gothic" w:hAnsi="Century Gothic"/>
          <w:sz w:val="20"/>
          <w:szCs w:val="20"/>
        </w:rPr>
      </w:pPr>
    </w:p>
    <w:p w:rsidR="009F6EB4" w:rsidRDefault="00D10B49" w:rsidP="009F6EB4">
      <w:pPr>
        <w:pStyle w:val="a6"/>
        <w:jc w:val="both"/>
        <w:rPr>
          <w:rFonts w:asciiTheme="minorHAnsi" w:hAnsiTheme="minorHAnsi" w:cstheme="minorHAnsi"/>
          <w:sz w:val="24"/>
          <w:szCs w:val="24"/>
        </w:rPr>
      </w:pPr>
      <w:r w:rsidRPr="009F6EB4">
        <w:rPr>
          <w:rFonts w:ascii="Century Gothic" w:hAnsi="Century Gothic"/>
          <w:sz w:val="20"/>
          <w:szCs w:val="20"/>
        </w:rPr>
        <w:t>З</w:t>
      </w:r>
      <w:r w:rsidR="002E6D4E" w:rsidRPr="009F6EB4">
        <w:rPr>
          <w:rFonts w:ascii="Century Gothic" w:hAnsi="Century Gothic"/>
          <w:sz w:val="20"/>
          <w:szCs w:val="20"/>
        </w:rPr>
        <w:t>аявления и уведомления</w:t>
      </w:r>
      <w:r w:rsidR="00DD2D98" w:rsidRPr="009F6EB4">
        <w:rPr>
          <w:rFonts w:ascii="Century Gothic" w:hAnsi="Century Gothic"/>
          <w:sz w:val="20"/>
          <w:szCs w:val="20"/>
        </w:rPr>
        <w:t xml:space="preserve"> </w:t>
      </w:r>
      <w:r w:rsidR="00F119ED" w:rsidRPr="009F6EB4">
        <w:rPr>
          <w:rFonts w:ascii="Century Gothic" w:hAnsi="Century Gothic"/>
          <w:sz w:val="20"/>
          <w:szCs w:val="20"/>
        </w:rPr>
        <w:t xml:space="preserve">гражданин </w:t>
      </w:r>
      <w:r w:rsidR="00260172" w:rsidRPr="009F6EB4">
        <w:rPr>
          <w:rFonts w:ascii="Century Gothic" w:hAnsi="Century Gothic"/>
          <w:sz w:val="20"/>
          <w:szCs w:val="20"/>
        </w:rPr>
        <w:t xml:space="preserve">может подать </w:t>
      </w:r>
      <w:r w:rsidR="00260172" w:rsidRPr="009F6EB4">
        <w:rPr>
          <w:rFonts w:ascii="Century Gothic" w:hAnsi="Century Gothic" w:cs="Calibri"/>
          <w:sz w:val="20"/>
          <w:szCs w:val="20"/>
        </w:rPr>
        <w:t>лично</w:t>
      </w:r>
      <w:r w:rsidR="004C0071" w:rsidRPr="009F6EB4">
        <w:rPr>
          <w:rFonts w:ascii="Century Gothic" w:hAnsi="Century Gothic" w:cs="Calibri"/>
          <w:sz w:val="20"/>
          <w:szCs w:val="20"/>
        </w:rPr>
        <w:t xml:space="preserve"> в ближай</w:t>
      </w:r>
      <w:r w:rsidR="00660200" w:rsidRPr="009F6EB4">
        <w:rPr>
          <w:rFonts w:ascii="Century Gothic" w:hAnsi="Century Gothic" w:cs="Calibri"/>
          <w:sz w:val="20"/>
          <w:szCs w:val="20"/>
        </w:rPr>
        <w:t>ший территориальный орган ПФР</w:t>
      </w:r>
      <w:r w:rsidR="004C0071" w:rsidRPr="009F6EB4">
        <w:rPr>
          <w:rFonts w:ascii="Century Gothic" w:hAnsi="Century Gothic" w:cs="Calibri"/>
          <w:sz w:val="20"/>
          <w:szCs w:val="20"/>
        </w:rPr>
        <w:t xml:space="preserve"> </w:t>
      </w:r>
      <w:r w:rsidR="00260172" w:rsidRPr="009F6EB4">
        <w:rPr>
          <w:rFonts w:ascii="Century Gothic" w:hAnsi="Century Gothic" w:cs="Calibri"/>
          <w:sz w:val="20"/>
          <w:szCs w:val="20"/>
        </w:rPr>
        <w:t xml:space="preserve"> или через представителя, действующего на основании нотариально удостоверенной доверенности, либо в форме электронного документа, </w:t>
      </w:r>
      <w:r w:rsidR="00260172" w:rsidRPr="009F6EB4">
        <w:rPr>
          <w:rFonts w:ascii="Century Gothic" w:hAnsi="Century Gothic" w:cs="Calibri"/>
          <w:color w:val="000000" w:themeColor="text1"/>
          <w:sz w:val="20"/>
          <w:szCs w:val="20"/>
        </w:rPr>
        <w:t>порядок</w:t>
      </w:r>
      <w:r w:rsidR="00260172" w:rsidRPr="009F6EB4">
        <w:rPr>
          <w:rFonts w:ascii="Century Gothic" w:hAnsi="Century Gothic" w:cs="Calibri"/>
          <w:sz w:val="20"/>
          <w:szCs w:val="20"/>
        </w:rPr>
        <w:t xml:space="preserve"> оформления которого определяется Правительством Российской Федерации, с использованием единого портала государственных и муниципальных услуг.</w:t>
      </w:r>
    </w:p>
    <w:p w:rsidR="00FB3D5E" w:rsidRDefault="001F29BF" w:rsidP="00C753AB">
      <w:pPr>
        <w:spacing w:line="141" w:lineRule="exact"/>
        <w:rPr>
          <w:rFonts w:asciiTheme="minorHAnsi" w:hAnsiTheme="minorHAnsi" w:cstheme="minorHAnsi"/>
          <w:sz w:val="24"/>
          <w:szCs w:val="24"/>
        </w:rPr>
      </w:pPr>
      <w:r w:rsidRPr="001F29B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-386080</wp:posOffset>
            </wp:positionH>
            <wp:positionV relativeFrom="paragraph">
              <wp:posOffset>49530</wp:posOffset>
            </wp:positionV>
            <wp:extent cx="7341870" cy="320040"/>
            <wp:effectExtent l="19050" t="0" r="0" b="0"/>
            <wp:wrapNone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87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3D5E" w:rsidSect="009F6EB4">
      <w:pgSz w:w="11906" w:h="16838"/>
      <w:pgMar w:top="567" w:right="794" w:bottom="249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8pt;height:16.8pt;visibility:visible;mso-wrap-style:square" o:bullet="t">
        <v:imagedata r:id="rId1" o:title=""/>
      </v:shape>
    </w:pict>
  </w:numPicBullet>
  <w:abstractNum w:abstractNumId="0">
    <w:nsid w:val="00001547"/>
    <w:multiLevelType w:val="hybridMultilevel"/>
    <w:tmpl w:val="368ACA9C"/>
    <w:lvl w:ilvl="0" w:tplc="3B8CC0C2">
      <w:start w:val="1"/>
      <w:numFmt w:val="bullet"/>
      <w:lvlText w:val="В"/>
      <w:lvlJc w:val="left"/>
    </w:lvl>
    <w:lvl w:ilvl="1" w:tplc="83C2183C">
      <w:numFmt w:val="decimal"/>
      <w:lvlText w:val=""/>
      <w:lvlJc w:val="left"/>
    </w:lvl>
    <w:lvl w:ilvl="2" w:tplc="047680A6">
      <w:numFmt w:val="decimal"/>
      <w:lvlText w:val=""/>
      <w:lvlJc w:val="left"/>
    </w:lvl>
    <w:lvl w:ilvl="3" w:tplc="CB68E81C">
      <w:numFmt w:val="decimal"/>
      <w:lvlText w:val=""/>
      <w:lvlJc w:val="left"/>
    </w:lvl>
    <w:lvl w:ilvl="4" w:tplc="32F09A22">
      <w:numFmt w:val="decimal"/>
      <w:lvlText w:val=""/>
      <w:lvlJc w:val="left"/>
    </w:lvl>
    <w:lvl w:ilvl="5" w:tplc="8A545508">
      <w:numFmt w:val="decimal"/>
      <w:lvlText w:val=""/>
      <w:lvlJc w:val="left"/>
    </w:lvl>
    <w:lvl w:ilvl="6" w:tplc="90C2CE2C">
      <w:numFmt w:val="decimal"/>
      <w:lvlText w:val=""/>
      <w:lvlJc w:val="left"/>
    </w:lvl>
    <w:lvl w:ilvl="7" w:tplc="FDBA8656">
      <w:numFmt w:val="decimal"/>
      <w:lvlText w:val=""/>
      <w:lvlJc w:val="left"/>
    </w:lvl>
    <w:lvl w:ilvl="8" w:tplc="F692064A">
      <w:numFmt w:val="decimal"/>
      <w:lvlText w:val=""/>
      <w:lvlJc w:val="left"/>
    </w:lvl>
  </w:abstractNum>
  <w:abstractNum w:abstractNumId="1">
    <w:nsid w:val="0FAD02CE"/>
    <w:multiLevelType w:val="hybridMultilevel"/>
    <w:tmpl w:val="6FCE96D2"/>
    <w:lvl w:ilvl="0" w:tplc="93C68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4D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04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6B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28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0C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CA9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8B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06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FB420E"/>
    <w:multiLevelType w:val="hybridMultilevel"/>
    <w:tmpl w:val="C6AC29A6"/>
    <w:lvl w:ilvl="0" w:tplc="50DEA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A5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C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A5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CC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88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4D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84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487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466039"/>
    <w:multiLevelType w:val="hybridMultilevel"/>
    <w:tmpl w:val="854E84B4"/>
    <w:lvl w:ilvl="0" w:tplc="59DCC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00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0F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C2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AA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6F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8C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A4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B708B5"/>
    <w:multiLevelType w:val="hybridMultilevel"/>
    <w:tmpl w:val="8EDAE1D4"/>
    <w:lvl w:ilvl="0" w:tplc="3F282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4E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61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AC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C1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A0A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AB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AD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A62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B16AA6"/>
    <w:multiLevelType w:val="hybridMultilevel"/>
    <w:tmpl w:val="51268684"/>
    <w:lvl w:ilvl="0" w:tplc="F5AA4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EA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E61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A5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8F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E4E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2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68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C7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88245A3"/>
    <w:multiLevelType w:val="hybridMultilevel"/>
    <w:tmpl w:val="73E81E54"/>
    <w:lvl w:ilvl="0" w:tplc="D0C6D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29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29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5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C47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21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0B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C4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4E6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10371B4"/>
    <w:multiLevelType w:val="hybridMultilevel"/>
    <w:tmpl w:val="CA9A21BA"/>
    <w:lvl w:ilvl="0" w:tplc="40BE0E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CF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C1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86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B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2E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CB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C7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A6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46E1755"/>
    <w:multiLevelType w:val="hybridMultilevel"/>
    <w:tmpl w:val="BCF6D358"/>
    <w:lvl w:ilvl="0" w:tplc="80DCE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66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87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1CB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A5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6C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AE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02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67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A153954"/>
    <w:multiLevelType w:val="hybridMultilevel"/>
    <w:tmpl w:val="0CF213CA"/>
    <w:lvl w:ilvl="0" w:tplc="9F5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24C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4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68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ACB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06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88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A7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62E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217AB2"/>
    <w:rsid w:val="00012517"/>
    <w:rsid w:val="00022E22"/>
    <w:rsid w:val="000A6D10"/>
    <w:rsid w:val="000B18A6"/>
    <w:rsid w:val="00120D2D"/>
    <w:rsid w:val="00126964"/>
    <w:rsid w:val="001273E6"/>
    <w:rsid w:val="00134D94"/>
    <w:rsid w:val="001363CA"/>
    <w:rsid w:val="001434BA"/>
    <w:rsid w:val="00166E2F"/>
    <w:rsid w:val="001741E7"/>
    <w:rsid w:val="001860D3"/>
    <w:rsid w:val="001B3541"/>
    <w:rsid w:val="001C5321"/>
    <w:rsid w:val="001D0F4F"/>
    <w:rsid w:val="001D201D"/>
    <w:rsid w:val="001E0DD2"/>
    <w:rsid w:val="001F29BF"/>
    <w:rsid w:val="00217AB2"/>
    <w:rsid w:val="00220489"/>
    <w:rsid w:val="00260172"/>
    <w:rsid w:val="00282AA0"/>
    <w:rsid w:val="0028453B"/>
    <w:rsid w:val="00284D77"/>
    <w:rsid w:val="002B090D"/>
    <w:rsid w:val="002B28BA"/>
    <w:rsid w:val="002B4A43"/>
    <w:rsid w:val="002E6D4E"/>
    <w:rsid w:val="00307287"/>
    <w:rsid w:val="00314A9E"/>
    <w:rsid w:val="00320BEE"/>
    <w:rsid w:val="003505E2"/>
    <w:rsid w:val="00352116"/>
    <w:rsid w:val="00357D85"/>
    <w:rsid w:val="00361FB1"/>
    <w:rsid w:val="003702D2"/>
    <w:rsid w:val="003A0360"/>
    <w:rsid w:val="003A4CD2"/>
    <w:rsid w:val="003E2F2B"/>
    <w:rsid w:val="00402F47"/>
    <w:rsid w:val="00403CCA"/>
    <w:rsid w:val="00416953"/>
    <w:rsid w:val="00425825"/>
    <w:rsid w:val="00450505"/>
    <w:rsid w:val="00475CA7"/>
    <w:rsid w:val="0048565C"/>
    <w:rsid w:val="004A307B"/>
    <w:rsid w:val="004C0071"/>
    <w:rsid w:val="004F4E90"/>
    <w:rsid w:val="00502EC4"/>
    <w:rsid w:val="00522195"/>
    <w:rsid w:val="005405E5"/>
    <w:rsid w:val="0055207A"/>
    <w:rsid w:val="00557D3D"/>
    <w:rsid w:val="00567500"/>
    <w:rsid w:val="00587500"/>
    <w:rsid w:val="005959F8"/>
    <w:rsid w:val="00596016"/>
    <w:rsid w:val="005C2CB7"/>
    <w:rsid w:val="0064799B"/>
    <w:rsid w:val="00660200"/>
    <w:rsid w:val="006651E8"/>
    <w:rsid w:val="00665259"/>
    <w:rsid w:val="00676805"/>
    <w:rsid w:val="00677732"/>
    <w:rsid w:val="006857C4"/>
    <w:rsid w:val="006B3311"/>
    <w:rsid w:val="006D412D"/>
    <w:rsid w:val="00737EF4"/>
    <w:rsid w:val="0074419D"/>
    <w:rsid w:val="007548EA"/>
    <w:rsid w:val="00773423"/>
    <w:rsid w:val="007774A1"/>
    <w:rsid w:val="007904F5"/>
    <w:rsid w:val="00791314"/>
    <w:rsid w:val="0079674F"/>
    <w:rsid w:val="007D28AC"/>
    <w:rsid w:val="007E063B"/>
    <w:rsid w:val="00822380"/>
    <w:rsid w:val="008246C3"/>
    <w:rsid w:val="00832411"/>
    <w:rsid w:val="00835458"/>
    <w:rsid w:val="008365A1"/>
    <w:rsid w:val="008570AF"/>
    <w:rsid w:val="00886D46"/>
    <w:rsid w:val="008B7BAD"/>
    <w:rsid w:val="008C2018"/>
    <w:rsid w:val="008D33F9"/>
    <w:rsid w:val="008E4889"/>
    <w:rsid w:val="008F0A61"/>
    <w:rsid w:val="008F6E84"/>
    <w:rsid w:val="00935CF5"/>
    <w:rsid w:val="00991B10"/>
    <w:rsid w:val="009D66F8"/>
    <w:rsid w:val="009E2D55"/>
    <w:rsid w:val="009E33A4"/>
    <w:rsid w:val="009F5B6D"/>
    <w:rsid w:val="009F6EB4"/>
    <w:rsid w:val="00A06BEB"/>
    <w:rsid w:val="00A30A4C"/>
    <w:rsid w:val="00A31322"/>
    <w:rsid w:val="00A32561"/>
    <w:rsid w:val="00A34A6B"/>
    <w:rsid w:val="00A3612E"/>
    <w:rsid w:val="00A64AFF"/>
    <w:rsid w:val="00AA7EF1"/>
    <w:rsid w:val="00AB3B60"/>
    <w:rsid w:val="00AB534A"/>
    <w:rsid w:val="00B01B63"/>
    <w:rsid w:val="00B06E54"/>
    <w:rsid w:val="00B13F03"/>
    <w:rsid w:val="00B32BEE"/>
    <w:rsid w:val="00B46CA4"/>
    <w:rsid w:val="00B91FD4"/>
    <w:rsid w:val="00B9525D"/>
    <w:rsid w:val="00C60B4B"/>
    <w:rsid w:val="00C753AB"/>
    <w:rsid w:val="00C95109"/>
    <w:rsid w:val="00CB4A3B"/>
    <w:rsid w:val="00CC03A7"/>
    <w:rsid w:val="00CE6417"/>
    <w:rsid w:val="00D10B49"/>
    <w:rsid w:val="00D26115"/>
    <w:rsid w:val="00D650B1"/>
    <w:rsid w:val="00DC0EE1"/>
    <w:rsid w:val="00DD163D"/>
    <w:rsid w:val="00DD2D98"/>
    <w:rsid w:val="00DF4E3B"/>
    <w:rsid w:val="00DF5861"/>
    <w:rsid w:val="00E01ECF"/>
    <w:rsid w:val="00E17C6B"/>
    <w:rsid w:val="00EB74C6"/>
    <w:rsid w:val="00EC1040"/>
    <w:rsid w:val="00F119ED"/>
    <w:rsid w:val="00F14431"/>
    <w:rsid w:val="00F164C1"/>
    <w:rsid w:val="00F1773E"/>
    <w:rsid w:val="00F47D81"/>
    <w:rsid w:val="00F54750"/>
    <w:rsid w:val="00F60B9D"/>
    <w:rsid w:val="00F917E2"/>
    <w:rsid w:val="00FA1392"/>
    <w:rsid w:val="00FB3D5E"/>
    <w:rsid w:val="00FC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none [3212]" stroke="f">
      <v:fill color="none [3212]" opacity="0" color2="fill lighten(223)" rotate="t" method="linear sigma" focus="100%" type="gradient"/>
      <v:stroke on="f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B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50B1"/>
    <w:rPr>
      <w:color w:val="0000FF" w:themeColor="hyperlink"/>
      <w:u w:val="single"/>
    </w:rPr>
  </w:style>
  <w:style w:type="paragraph" w:styleId="a6">
    <w:name w:val="No Spacing"/>
    <w:uiPriority w:val="1"/>
    <w:qFormat/>
    <w:rsid w:val="00557D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9E2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35898-0143-43CC-9A8E-51328279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Данильчук</dc:creator>
  <cp:lastModifiedBy>044RybinaGI</cp:lastModifiedBy>
  <cp:revision>14</cp:revision>
  <cp:lastPrinted>2018-11-14T11:17:00Z</cp:lastPrinted>
  <dcterms:created xsi:type="dcterms:W3CDTF">2018-11-14T11:14:00Z</dcterms:created>
  <dcterms:modified xsi:type="dcterms:W3CDTF">2020-02-26T14:46:00Z</dcterms:modified>
</cp:coreProperties>
</file>